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16 января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13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руководителя Муниципального </w:t>
      </w:r>
      <w:r>
        <w:rPr>
          <w:rFonts w:ascii="Times New Roman" w:eastAsia="Times New Roman" w:hAnsi="Times New Roman" w:cs="Times New Roman"/>
        </w:rPr>
        <w:t>Водоканализационного</w:t>
      </w:r>
      <w:r>
        <w:rPr>
          <w:rFonts w:ascii="Times New Roman" w:eastAsia="Times New Roman" w:hAnsi="Times New Roman" w:cs="Times New Roman"/>
        </w:rPr>
        <w:t xml:space="preserve"> предприятия Муниципального образования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Молчанова Николая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Молчанов Н.Н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руководителя Муниципального </w:t>
      </w:r>
      <w:r>
        <w:rPr>
          <w:rFonts w:ascii="Times New Roman" w:eastAsia="Times New Roman" w:hAnsi="Times New Roman" w:cs="Times New Roman"/>
        </w:rPr>
        <w:t>Водоканализационного</w:t>
      </w:r>
      <w:r>
        <w:rPr>
          <w:rFonts w:ascii="Times New Roman" w:eastAsia="Times New Roman" w:hAnsi="Times New Roman" w:cs="Times New Roman"/>
        </w:rPr>
        <w:t xml:space="preserve"> предприятия Муниципального образования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Сирина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зд.59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налоговую декларацию </w:t>
      </w:r>
      <w:r>
        <w:rPr>
          <w:rFonts w:ascii="Times New Roman" w:eastAsia="Times New Roman" w:hAnsi="Times New Roman" w:cs="Times New Roman"/>
        </w:rPr>
        <w:t xml:space="preserve">по налогу </w:t>
      </w:r>
      <w:r>
        <w:rPr>
          <w:rFonts w:ascii="Times New Roman" w:eastAsia="Times New Roman" w:hAnsi="Times New Roman" w:cs="Times New Roman"/>
        </w:rPr>
        <w:t>на имущество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.3 ст.</w:t>
      </w:r>
      <w:r>
        <w:rPr>
          <w:rFonts w:ascii="Times New Roman" w:eastAsia="Times New Roman" w:hAnsi="Times New Roman" w:cs="Times New Roman"/>
        </w:rPr>
        <w:t>386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Молчанов Н.Н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Молчанов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Молчанов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Молчанов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.10.2025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(декларации) расчета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Молчанов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Молчанов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Н.Н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руководителя Муниципального </w:t>
      </w:r>
      <w:r>
        <w:rPr>
          <w:rFonts w:ascii="Times New Roman" w:eastAsia="Times New Roman" w:hAnsi="Times New Roman" w:cs="Times New Roman"/>
        </w:rPr>
        <w:t>Водоканализационного</w:t>
      </w:r>
      <w:r>
        <w:rPr>
          <w:rFonts w:ascii="Times New Roman" w:eastAsia="Times New Roman" w:hAnsi="Times New Roman" w:cs="Times New Roman"/>
        </w:rPr>
        <w:t xml:space="preserve"> предприятия Муниципального образования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Молчанова Николая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2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